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3303905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ОПИСАНИЕ КОМПЕТЕНЦИИ</w:t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«Охрана окружающей среды»</w:t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Наименование компетенции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: Охрана окружающей среды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Формат участия в соревновании</w:t>
      </w:r>
      <w:r>
        <w:rPr>
          <w:rFonts w:eastAsia="Calibri" w:cs="Times New Roman" w:ascii="Times New Roman" w:hAnsi="Times New Roman"/>
          <w:sz w:val="28"/>
          <w:szCs w:val="28"/>
        </w:rPr>
        <w:t>: индивидуальный</w:t>
      </w:r>
      <w:r>
        <w:rPr>
          <w:rFonts w:eastAsia="Calibri" w:cs="Times New Roman"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Описание компетенции</w:t>
      </w:r>
      <w:r>
        <w:rPr>
          <w:rFonts w:eastAsia="Calibri"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iCs/>
          <w:sz w:val="28"/>
          <w:szCs w:val="28"/>
          <w:u w:val="single"/>
        </w:rPr>
        <w:t>Краткая характеристика профессии (специальности):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в области охраны окружающей среды, </w:t>
      </w:r>
      <w:r>
        <w:rPr>
          <w:rFonts w:eastAsia="Calibri" w:cs="Times New Roman" w:ascii="Times New Roman" w:hAnsi="Times New Roman"/>
          <w:iCs/>
          <w:sz w:val="28"/>
          <w:szCs w:val="28"/>
        </w:rPr>
        <w:t>осуществляет контроль за соблюдением в подразделениях предприятия действующего экологического законодательства, инструкций, стандартов и нормативов по охране окружающей среды, способствует снижению вредного влияния производственных факторов на жизнь и здоровье работников. Разрабатывает проекты перспективных и текущих планов по охране окружающей среды, контролирует их выполнение. Участвует в проведении экологической экспертизы технико-экономических обоснований, проектов расширения и реконструкции действующих производств, а также создаваемых новых технологий и оборудования, разработке мероприятий по внедрению новой техники. Принимает участие в проведении научно-исследовательских и опытных работ по очистке промышленных сточных вод, предотвращению загрязнения окружающей среды, выбросов вредных веществ в атмосферу, уменьшению или полной ликвидации технологических отходов, рациональному использованию земельных и водных ресурсов. Осуществляет контроль за соблюдением технологических режимов природоохранных объектов, анализирует их работу, следит за соблюдением экологических стандартов и нормативов, за состоянием окружающей среды в районе расположения предприятия. Составляет технологические регламенты, графики аналитического контроля, паспорта, инструкции и другую техническую документацию. Участвует в проверке соответствия технического состояния оборудования требованиям охраны окружающей среды и рационального природопользования. Составляет установленную отчетность о выполнении мероприятий по охране окружающей среды, принимает участие в работе комиссий по проведению экологической экспертизы деятельности предприятия.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i/>
          <w:i/>
          <w:iCs/>
          <w:sz w:val="28"/>
          <w:szCs w:val="28"/>
        </w:rPr>
      </w:pPr>
      <w:r>
        <w:rPr>
          <w:rFonts w:eastAsia="Calibri" w:cs="Times New Roman" w:ascii="Times New Roman" w:hAnsi="Times New Roman"/>
          <w:i/>
          <w:iCs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iCs/>
          <w:sz w:val="28"/>
          <w:szCs w:val="28"/>
          <w:u w:val="single"/>
        </w:rPr>
        <w:t>Актуальность профессии (специальности) в реальном секторе экономики России: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eastAsia="Calibri" w:cs="Times New Roman" w:ascii="Times New Roman" w:hAnsi="Times New Roman"/>
          <w:iCs/>
          <w:sz w:val="28"/>
          <w:szCs w:val="28"/>
        </w:rPr>
        <w:t>Проблемы сохранения окружающей среды становятся все более актуальными из-за увеличения выбросов вредных веществ в атмосферу, загрязнения водоемов, накопления отходов, загрязнение окружающей среды связывают с проблемой глобального потепления. Масштабы массового производства увеличиваются, повышаются и требования к предприятиям, растет их ответственность за нарушение природоохранного законодательства.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iCs/>
          <w:sz w:val="28"/>
          <w:szCs w:val="28"/>
        </w:rPr>
        <w:t>Сложившиеся ситуация требует принятия мер по охране окружающей среды для снижения влияния и сокращения поступления в природную среду загрязняющих компонентов, стабилизации, а затем и уменьшения существующего уровня загрязненности атмосферного воздуха, поверхностных и грунтовых вод, почвы.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eastAsia="Calibri" w:cs="Times New Roman" w:ascii="Times New Roman" w:hAnsi="Times New Roman"/>
          <w:iCs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eastAsia="Calibri" w:cs="Times New Roman" w:ascii="Times New Roman" w:hAnsi="Times New Roman"/>
          <w:iCs/>
          <w:sz w:val="28"/>
          <w:szCs w:val="28"/>
          <w:u w:val="single"/>
        </w:rPr>
        <w:t>Описание особенностей профессиональной деятельности специалиста</w:t>
      </w:r>
      <w:r>
        <w:rPr>
          <w:rFonts w:eastAsia="Calibri" w:cs="Times New Roman" w:ascii="Times New Roman" w:hAnsi="Times New Roman"/>
          <w:iCs/>
          <w:sz w:val="28"/>
          <w:szCs w:val="28"/>
        </w:rPr>
        <w:t>: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Положительные стороны работы специалиста в области охраны окружающей среды: удовлетворение от проделанной работы по улучшению окружающей среды; спрос на квалифицированных экологов будет расти с учетом развития производственного сектора; охрана окружающей среды - международная специальность, возможность обмена опытом и расширения навыков.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i/>
          <w:i/>
          <w:iCs/>
          <w:sz w:val="28"/>
          <w:szCs w:val="28"/>
        </w:rPr>
      </w:pPr>
      <w:r>
        <w:rPr>
          <w:rFonts w:eastAsia="Calibri" w:cs="Times New Roman" w:ascii="Times New Roman" w:hAnsi="Times New Roman"/>
          <w:i/>
          <w:iCs/>
          <w:sz w:val="28"/>
          <w:szCs w:val="28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i/>
          <w:i/>
          <w:iCs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iCs/>
          <w:sz w:val="28"/>
          <w:szCs w:val="28"/>
          <w:u w:val="single"/>
        </w:rPr>
        <w:t>Особенности внедрения в индустрию, в каких средах применяется: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Специалисты по охране окружающей среды нужны в государственном, коммерческом, некоммерческом секторах.  Сфера охраны окружающей среды, очень популярна. Трудоустроиться экологом можно в природоохранную или проектную организацию, министерство, муниципальные структуры, промышленные предприятия, исследовательские или научные институты. Наличие специалиста в области охраны окружающей среды на каком-либо предприятии важно, так как административная (штрафные санкции) и уголовная ответственность за негативное воздействие на окружающую среду ужесточается.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lineRule="atLeast" w:line="23" w:before="0" w:after="0"/>
        <w:jc w:val="both"/>
        <w:outlineLvl w:val="1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bookmarkStart w:id="2" w:name="_Toc123113308"/>
      <w:r>
        <w:rPr>
          <w:rFonts w:eastAsia="Times New Roman" w:cs="Times New Roman" w:ascii="Times New Roman" w:hAnsi="Times New Roman"/>
          <w:b/>
          <w:sz w:val="28"/>
          <w:szCs w:val="28"/>
        </w:rPr>
        <w:t>Нормативные правовые акты</w:t>
      </w:r>
      <w:bookmarkEnd w:id="2"/>
    </w:p>
    <w:p>
      <w:pPr>
        <w:pStyle w:val="Normal"/>
        <w:spacing w:lineRule="atLeast" w:line="23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ФГОС СПО.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20.02.01 Экологическая безопасность природных комплексов, утвержден приказом Министерства просвещения Российской Федерации от 31 августа 2022 г. N 790.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Профессиональный стандарт;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Профессиональный стандарт 40.117 «Специалист по экологической безопасности (в промышленности)», утвержден приказом Министерства труда и социальной защиты Российской Федерации от 7 сентября 2020 года N 569н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ЕТКС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ЕТКС «Профессии рабочих, общие для всех отраслей народного хозяйства» «Пробоотборщик», Единый тарифно-квалификационный справочник работ и профессий рабочих (ЕТКС), 2019 Выпуск №1 ЕТКС, Выпуск утвержден Постановлением Государственного комитета СССР по труду и социальным вопросам и Секретариата ВЦСПС от 31 января 1985 г. N 31/3-30, (в редакции: Постановлений Госкомтруда СССР, Секретариата ВЦСПС от 12.10.1987 N 618/28-99,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199).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Отраслевые/корпоративные стандарты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Квалификационные характеристики (профессиограмма)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  <w:vertAlign w:val="subscript"/>
        </w:rPr>
      </w:pPr>
      <w:r>
        <w:rPr>
          <w:rFonts w:eastAsia="Calibri" w:cs="Times New Roman" w:ascii="Times New Roman" w:hAnsi="Times New Roman"/>
          <w:sz w:val="28"/>
          <w:szCs w:val="28"/>
        </w:rPr>
        <w:t>ГОСТы</w:t>
      </w:r>
    </w:p>
    <w:p>
      <w:pPr>
        <w:pStyle w:val="ListParagraph"/>
        <w:spacing w:lineRule="atLeast" w:line="23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17.2.4.06-90 Атмосфера. Методы определения скорости и расхода газопылевых потоков, отходящих от стационарных источников загрязнения, утвержден и введен в действие Постановлением Государственного комитета СССР по охране природы от 03.07.90 № 27;</w:t>
      </w:r>
    </w:p>
    <w:p>
      <w:pPr>
        <w:pStyle w:val="ListParagraph"/>
        <w:spacing w:lineRule="atLeast" w:line="23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23337-2014 Шум. Методы измерения шума на селитебной территории и в помещениях жилых и общественных зданий,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принят Межгосударственным советом по стандартизации, метрологии и сертификации, протокол от 30 сентября 2014 г. № 70-П.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  <w:vertAlign w:val="subscript"/>
        </w:rPr>
      </w:pPr>
      <w:r>
        <w:rPr>
          <w:rFonts w:eastAsia="Calibri" w:cs="Times New Roman" w:ascii="Times New Roman" w:hAnsi="Times New Roman"/>
          <w:sz w:val="28"/>
          <w:szCs w:val="28"/>
        </w:rPr>
        <w:t>СанПиНы</w:t>
      </w:r>
    </w:p>
    <w:p>
      <w:pPr>
        <w:pStyle w:val="ListParagraph"/>
        <w:numPr>
          <w:ilvl w:val="0"/>
          <w:numId w:val="2"/>
        </w:numPr>
        <w:spacing w:lineRule="atLeast" w:line="23" w:before="0" w:after="0"/>
        <w:ind w:firstLine="284" w:left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утверждены Постановлением Главного государственного санитарного врача РФ от 28 января 2021 г. № 2;</w:t>
      </w:r>
    </w:p>
    <w:p>
      <w:pPr>
        <w:pStyle w:val="ListParagraph"/>
        <w:numPr>
          <w:ilvl w:val="0"/>
          <w:numId w:val="2"/>
        </w:numPr>
        <w:spacing w:lineRule="atLeast" w:line="23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утверждены Постановлением Главного государственного санитарного врача РФ от 28 января 2021 г. № 3.</w:t>
      </w:r>
    </w:p>
    <w:p>
      <w:pPr>
        <w:pStyle w:val="Normal"/>
        <w:numPr>
          <w:ilvl w:val="0"/>
          <w:numId w:val="1"/>
        </w:numPr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  <w:vertAlign w:val="subscript"/>
        </w:rPr>
      </w:pPr>
      <w:r>
        <w:rPr>
          <w:rFonts w:eastAsia="Calibri" w:cs="Times New Roman" w:ascii="Times New Roman" w:hAnsi="Times New Roman"/>
          <w:sz w:val="28"/>
          <w:szCs w:val="28"/>
        </w:rPr>
        <w:t>СП (СНИП)</w:t>
      </w:r>
    </w:p>
    <w:p>
      <w:pPr>
        <w:pStyle w:val="Normal"/>
        <w:keepNext w:val="true"/>
        <w:numPr>
          <w:ilvl w:val="0"/>
          <w:numId w:val="0"/>
        </w:numPr>
        <w:spacing w:lineRule="atLeast" w:line="23" w:before="0" w:after="0"/>
        <w:jc w:val="both"/>
        <w:outlineLvl w:val="1"/>
        <w:rPr>
          <w:rFonts w:ascii="Times New Roman" w:hAnsi="Times New Roman" w:eastAsia="Times New Roman" w:cs="Times New Roman"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lineRule="atLeast" w:line="23" w:before="0" w:after="0"/>
        <w:ind w:firstLine="709"/>
        <w:jc w:val="both"/>
        <w:outlineLvl w:val="1"/>
        <w:rPr>
          <w:rFonts w:ascii="Times New Roman" w:hAnsi="Times New Roman" w:eastAsia="Calibri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о</w:t>
      </w:r>
      <w:r>
        <w:rPr>
          <w:rFonts w:eastAsia="Calibri" w:cs="Times New Roman" w:ascii="Times New Roman" w:hAnsi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eastAsia="Calibri" w:cs="Times New Roman" w:ascii="Times New Roman" w:hAnsi="Times New Roman"/>
          <w:i/>
          <w:sz w:val="28"/>
          <w:szCs w:val="28"/>
        </w:rPr>
        <w:t>.</w:t>
      </w:r>
    </w:p>
    <w:p>
      <w:pPr>
        <w:pStyle w:val="Normal"/>
        <w:keepNext w:val="true"/>
        <w:numPr>
          <w:ilvl w:val="0"/>
          <w:numId w:val="0"/>
        </w:numPr>
        <w:spacing w:lineRule="atLeast" w:line="23" w:before="0" w:after="0"/>
        <w:ind w:firstLine="709"/>
        <w:jc w:val="both"/>
        <w:outlineLvl w:val="1"/>
        <w:rPr>
          <w:rFonts w:ascii="Times New Roman" w:hAnsi="Times New Roman" w:eastAsia="Calibri" w:cs="Times New Roman"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i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HBand="0" w:noVBand="1" w:firstColumn="0" w:lastRow="0" w:lastColumn="0" w:firstRow="0"/>
      </w:tblPr>
      <w:tblGrid>
        <w:gridCol w:w="989"/>
        <w:gridCol w:w="8365"/>
      </w:tblGrid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color w:val="FFFFFF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color w:val="FFFFFF"/>
                <w:sz w:val="28"/>
                <w:szCs w:val="28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FFFFFF"/>
                <w:sz w:val="28"/>
                <w:szCs w:val="28"/>
              </w:rPr>
              <w:t>п/п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color w:val="FFFFFF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Производственный экологический контроль в организации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периодических проверок соблюдения технологических режимов, связанных с загрязнением окружающей среды в организации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в области обращения с отходами в организации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документации по нормированию воздействия производственной деятельности организации на окружающую среду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и документальное сопровождение деятельности по соблюдению или достижению установленных нормативов допустимого воздействия на окружающую среду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разрешительной документации в области охраны окружающей среды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отчетной документации о природоохранной деятельности организации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spacing w:lineRule="atLeast" w:line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Установление причин и последствий аварийных выбросов и сбросов загрязняющих веществ в окружающую среду, подготовка предложений по предупреждению негативных последствий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Экономическое регулирование природоохранной деятельности организации</w:t>
            </w:r>
          </w:p>
        </w:tc>
      </w:tr>
    </w:tbl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footerReference w:type="default" r:id="rId3"/>
      <w:type w:val="nextPage"/>
      <w:pgSz w:w="11906" w:h="16838"/>
      <w:pgMar w:left="1701" w:right="850" w:gutter="0" w:header="0" w:top="1134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9630361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basedOn w:val="DefaultParagraphFont"/>
    <w:link w:val="ListParagraph"/>
    <w:uiPriority w:val="34"/>
    <w:qFormat/>
    <w:rsid w:val="001b15de"/>
    <w:rPr>
      <w:rFonts w:ascii="Calibri" w:hAnsi="Calibri" w:eastAsia="Calibri" w:cs="Times New Roman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130b3"/>
    <w:rPr/>
  </w:style>
  <w:style w:type="character" w:styleId="Style16" w:customStyle="1">
    <w:name w:val="Нижний колонтитул Знак"/>
    <w:basedOn w:val="DefaultParagraphFont"/>
    <w:uiPriority w:val="99"/>
    <w:qFormat/>
    <w:rsid w:val="00a130b3"/>
    <w:rPr/>
  </w:style>
  <w:style w:type="character" w:styleId="Style17" w:customStyle="1">
    <w:name w:val="С_Т Знак"/>
    <w:link w:val="Style21"/>
    <w:qFormat/>
    <w:rsid w:val="00e62fb8"/>
    <w:rPr>
      <w:rFonts w:ascii="Times New Roman" w:hAnsi="Times New Roman" w:eastAsia="Times New Roman" w:cs="Times New Roman"/>
      <w:bCs/>
      <w:sz w:val="24"/>
      <w:szCs w:val="24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Style14"/>
    <w:uiPriority w:val="34"/>
    <w:qFormat/>
    <w:rsid w:val="001b15de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130b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a130b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e62fb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eastAsia="ru-RU" w:val="ru-RU" w:bidi="ar-SA"/>
    </w:rPr>
  </w:style>
  <w:style w:type="paragraph" w:styleId="Style21" w:customStyle="1">
    <w:name w:val="С_Т"/>
    <w:link w:val="Style17"/>
    <w:qFormat/>
    <w:rsid w:val="00e62f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Cs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75C92-7F3D-4ACA-BBAF-894C884A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4</Pages>
  <Words>879</Words>
  <Characters>6750</Characters>
  <CharactersWithSpaces>7569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2024-02-13T02:35:00Z</dcterms:created>
  <dc:creator>ЙОСТ3</dc:creator>
  <dc:description/>
  <dc:language>ru-RU</dc:language>
  <cp:lastModifiedBy/>
  <dcterms:modified xsi:type="dcterms:W3CDTF">2025-01-31T15:34:46Z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